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C8C8" w14:textId="489480E4" w:rsidR="006F53F8" w:rsidRDefault="006F53F8" w:rsidP="006F53F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RFP NO. 4586</w:t>
      </w:r>
    </w:p>
    <w:p w14:paraId="7A09AA43" w14:textId="23A28DC0" w:rsidR="006B02C9" w:rsidRPr="00D502C4" w:rsidRDefault="006F53F8" w:rsidP="00F849DB">
      <w:pPr>
        <w:jc w:val="center"/>
        <w:rPr>
          <w:rFonts w:ascii="Arial" w:hAnsi="Arial" w:cs="Arial"/>
          <w:b/>
        </w:rPr>
      </w:pPr>
      <w:r w:rsidRPr="3EB06198">
        <w:rPr>
          <w:rFonts w:ascii="Arial" w:hAnsi="Arial" w:cs="Arial"/>
          <w:b/>
        </w:rPr>
        <w:t>REVISED COST INFORMATION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3"/>
        <w:gridCol w:w="1216"/>
        <w:gridCol w:w="1311"/>
      </w:tblGrid>
      <w:tr w:rsidR="005E62FF" w:rsidRPr="004413E9" w14:paraId="196796D8" w14:textId="77777777" w:rsidTr="006B02C9">
        <w:tc>
          <w:tcPr>
            <w:tcW w:w="6823" w:type="dxa"/>
            <w:shd w:val="clear" w:color="auto" w:fill="D9E2F3" w:themeFill="accent1" w:themeFillTint="33"/>
            <w:vAlign w:val="center"/>
          </w:tcPr>
          <w:p w14:paraId="5A02675D" w14:textId="77777777" w:rsidR="005E62FF" w:rsidRPr="001117AC" w:rsidRDefault="005E62FF" w:rsidP="00D502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17A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216" w:type="dxa"/>
            <w:shd w:val="clear" w:color="auto" w:fill="D9E2F3" w:themeFill="accent1" w:themeFillTint="33"/>
            <w:vAlign w:val="center"/>
          </w:tcPr>
          <w:p w14:paraId="2944512C" w14:textId="77777777" w:rsidR="005E62FF" w:rsidRPr="001117AC" w:rsidRDefault="005E62FF" w:rsidP="00D502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17AC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311" w:type="dxa"/>
            <w:shd w:val="clear" w:color="auto" w:fill="D9E2F3" w:themeFill="accent1" w:themeFillTint="33"/>
            <w:vAlign w:val="center"/>
          </w:tcPr>
          <w:p w14:paraId="3CEADE86" w14:textId="77777777" w:rsidR="005E62FF" w:rsidRPr="001117AC" w:rsidRDefault="005E62FF" w:rsidP="00D502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17AC">
              <w:rPr>
                <w:rFonts w:ascii="Arial" w:hAnsi="Arial" w:cs="Arial"/>
                <w:b/>
              </w:rPr>
              <w:t>Unit Cost</w:t>
            </w:r>
          </w:p>
        </w:tc>
      </w:tr>
      <w:tr w:rsidR="005E62FF" w:rsidRPr="00647AF3" w14:paraId="234026B9" w14:textId="77777777" w:rsidTr="006B02C9">
        <w:tc>
          <w:tcPr>
            <w:tcW w:w="6823" w:type="dxa"/>
            <w:vAlign w:val="center"/>
          </w:tcPr>
          <w:p w14:paraId="36129FFB" w14:textId="77777777" w:rsidR="005E62FF" w:rsidRPr="00647AF3" w:rsidRDefault="005E62FF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Implementation Services (fully loaded with travel, subsistence, and associated per diem costs)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14:paraId="03902CEA" w14:textId="77777777" w:rsidR="005E62FF" w:rsidRPr="00647AF3" w:rsidRDefault="005E62FF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BFBFBF" w:themeFill="background1" w:themeFillShade="BF"/>
            <w:vAlign w:val="center"/>
          </w:tcPr>
          <w:p w14:paraId="4D17C07C" w14:textId="77777777" w:rsidR="005E62FF" w:rsidRPr="00647AF3" w:rsidRDefault="005E62FF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E62FF" w:rsidRPr="00647AF3" w14:paraId="4FF5945B" w14:textId="77777777" w:rsidTr="006B02C9">
        <w:tc>
          <w:tcPr>
            <w:tcW w:w="6823" w:type="dxa"/>
            <w:vAlign w:val="center"/>
          </w:tcPr>
          <w:p w14:paraId="6F1A3A3B" w14:textId="77777777" w:rsidR="005E62FF" w:rsidRPr="00647AF3" w:rsidRDefault="005E62FF" w:rsidP="001706C7">
            <w:pPr>
              <w:spacing w:before="60" w:after="60"/>
              <w:rPr>
                <w:rFonts w:ascii="Arial" w:hAnsi="Arial" w:cs="Arial"/>
                <w:b/>
                <w:bCs w:val="0"/>
              </w:rPr>
            </w:pPr>
            <w:r w:rsidRPr="00647AF3">
              <w:rPr>
                <w:rFonts w:ascii="Arial" w:hAnsi="Arial" w:cs="Arial"/>
                <w:b/>
              </w:rPr>
              <w:t>Base Offering: Product Customization, Implementation, Data Conversion/Migration, Interfaces, Integrations, Testing, Training, Maintenance, etc. as described in RFP 4586</w:t>
            </w:r>
          </w:p>
          <w:p w14:paraId="5C38DE05" w14:textId="77777777" w:rsidR="005E62FF" w:rsidRPr="00647AF3" w:rsidRDefault="005E62FF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Itemize the cost for any deliverable not included in the base offering as a separate line item below.</w:t>
            </w:r>
          </w:p>
        </w:tc>
        <w:tc>
          <w:tcPr>
            <w:tcW w:w="1216" w:type="dxa"/>
            <w:vAlign w:val="center"/>
          </w:tcPr>
          <w:p w14:paraId="0CAA57F0" w14:textId="5BFB631E" w:rsidR="005E62FF" w:rsidRPr="00647AF3" w:rsidRDefault="005E62FF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vAlign w:val="center"/>
          </w:tcPr>
          <w:p w14:paraId="7DFC37CC" w14:textId="77777777" w:rsidR="005E62FF" w:rsidRPr="00647AF3" w:rsidRDefault="005E62FF" w:rsidP="00D502C4">
            <w:pPr>
              <w:spacing w:before="60" w:after="60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5E62FF" w:rsidRPr="00647AF3" w14:paraId="199B5B1E" w14:textId="77777777" w:rsidTr="006B02C9">
        <w:tc>
          <w:tcPr>
            <w:tcW w:w="8039" w:type="dxa"/>
            <w:gridSpan w:val="2"/>
            <w:vAlign w:val="center"/>
          </w:tcPr>
          <w:p w14:paraId="1B493BA8" w14:textId="77777777" w:rsidR="005E62FF" w:rsidRPr="00647AF3" w:rsidRDefault="005E62FF" w:rsidP="00D502C4">
            <w:pPr>
              <w:spacing w:before="60" w:after="60"/>
              <w:jc w:val="right"/>
              <w:rPr>
                <w:rFonts w:ascii="Arial" w:hAnsi="Arial" w:cs="Arial"/>
                <w:b/>
                <w:bCs w:val="0"/>
              </w:rPr>
            </w:pPr>
            <w:r w:rsidRPr="00647AF3">
              <w:rPr>
                <w:rFonts w:ascii="Arial" w:hAnsi="Arial" w:cs="Arial"/>
                <w:b/>
              </w:rPr>
              <w:t>Base Offering Cost Total:</w:t>
            </w:r>
          </w:p>
        </w:tc>
        <w:tc>
          <w:tcPr>
            <w:tcW w:w="1311" w:type="dxa"/>
            <w:vAlign w:val="center"/>
          </w:tcPr>
          <w:p w14:paraId="63825247" w14:textId="77777777" w:rsidR="005E62FF" w:rsidRPr="00647AF3" w:rsidRDefault="005E62FF" w:rsidP="00D502C4">
            <w:pPr>
              <w:spacing w:before="60" w:after="60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</w:tbl>
    <w:p w14:paraId="2C078E63" w14:textId="77777777" w:rsidR="000B4120" w:rsidRPr="00647AF3" w:rsidRDefault="000B412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9"/>
        <w:gridCol w:w="2151"/>
      </w:tblGrid>
      <w:tr w:rsidR="00531934" w:rsidRPr="00647AF3" w14:paraId="6B4FA35F" w14:textId="77777777" w:rsidTr="00647AF3">
        <w:trPr>
          <w:tblHeader/>
        </w:trPr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6DCCF7E9" w14:textId="15B1ABA5" w:rsidR="00531934" w:rsidRPr="00647AF3" w:rsidRDefault="00742B5D" w:rsidP="00D502C4">
            <w:pPr>
              <w:spacing w:before="60" w:after="6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</w:rPr>
              <w:t xml:space="preserve">Base Offering </w:t>
            </w:r>
            <w:r w:rsidR="00531934" w:rsidRPr="00647AF3">
              <w:rPr>
                <w:rFonts w:ascii="Arial" w:hAnsi="Arial" w:cs="Arial"/>
                <w:b/>
              </w:rPr>
              <w:t>Deliverables by Payment Amount</w:t>
            </w:r>
          </w:p>
        </w:tc>
      </w:tr>
      <w:tr w:rsidR="00531934" w:rsidRPr="00647AF3" w14:paraId="75E15DCC" w14:textId="77777777" w:rsidTr="00647AF3">
        <w:tc>
          <w:tcPr>
            <w:tcW w:w="7199" w:type="dxa"/>
            <w:vAlign w:val="center"/>
          </w:tcPr>
          <w:p w14:paraId="693B6BEB" w14:textId="77777777" w:rsidR="00531934" w:rsidRPr="00647AF3" w:rsidRDefault="00531934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1. Project Work Plan and Schedule (Section I, Item H)</w:t>
            </w:r>
          </w:p>
        </w:tc>
        <w:tc>
          <w:tcPr>
            <w:tcW w:w="2151" w:type="dxa"/>
            <w:vAlign w:val="center"/>
          </w:tcPr>
          <w:p w14:paraId="27A812AE" w14:textId="77777777" w:rsidR="00531934" w:rsidRPr="00647AF3" w:rsidRDefault="00531934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531934" w:rsidRPr="00647AF3" w14:paraId="2CDB0265" w14:textId="77777777" w:rsidTr="00647AF3">
        <w:tc>
          <w:tcPr>
            <w:tcW w:w="7199" w:type="dxa"/>
            <w:vAlign w:val="center"/>
          </w:tcPr>
          <w:p w14:paraId="61D84AFA" w14:textId="77777777" w:rsidR="00531934" w:rsidRPr="00647AF3" w:rsidRDefault="00531934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2. RACI (Section I, Item H, #50)</w:t>
            </w:r>
          </w:p>
        </w:tc>
        <w:tc>
          <w:tcPr>
            <w:tcW w:w="2151" w:type="dxa"/>
            <w:vAlign w:val="center"/>
          </w:tcPr>
          <w:p w14:paraId="41C13A01" w14:textId="77777777" w:rsidR="00531934" w:rsidRPr="00647AF3" w:rsidRDefault="00531934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531934" w:rsidRPr="00647AF3" w14:paraId="15A31BD6" w14:textId="77777777" w:rsidTr="00647AF3">
        <w:tc>
          <w:tcPr>
            <w:tcW w:w="7199" w:type="dxa"/>
            <w:vAlign w:val="center"/>
          </w:tcPr>
          <w:p w14:paraId="68F7A1D9" w14:textId="77777777" w:rsidR="00531934" w:rsidRPr="00647AF3" w:rsidRDefault="00531934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3. Continuity of Operations Plan (COOP</w:t>
            </w:r>
            <w:proofErr w:type="gramStart"/>
            <w:r w:rsidRPr="00647AF3">
              <w:rPr>
                <w:rFonts w:ascii="Arial" w:hAnsi="Arial" w:cs="Arial"/>
              </w:rPr>
              <w:t>)(</w:t>
            </w:r>
            <w:proofErr w:type="gramEnd"/>
            <w:r w:rsidRPr="00647AF3">
              <w:rPr>
                <w:rFonts w:ascii="Arial" w:hAnsi="Arial" w:cs="Arial"/>
              </w:rPr>
              <w:t>Section III, Item F)</w:t>
            </w:r>
          </w:p>
        </w:tc>
        <w:tc>
          <w:tcPr>
            <w:tcW w:w="2151" w:type="dxa"/>
            <w:vAlign w:val="center"/>
          </w:tcPr>
          <w:p w14:paraId="7F08F4C5" w14:textId="77777777" w:rsidR="00531934" w:rsidRPr="00647AF3" w:rsidRDefault="00531934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531934" w:rsidRPr="00647AF3" w14:paraId="6D32189F" w14:textId="77777777" w:rsidTr="00647AF3">
        <w:tc>
          <w:tcPr>
            <w:tcW w:w="7199" w:type="dxa"/>
            <w:vAlign w:val="center"/>
          </w:tcPr>
          <w:p w14:paraId="2D6F945F" w14:textId="77777777" w:rsidR="00531934" w:rsidRPr="00647AF3" w:rsidRDefault="00531934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4. Implementation Requirements (Section IV)</w:t>
            </w:r>
          </w:p>
        </w:tc>
        <w:tc>
          <w:tcPr>
            <w:tcW w:w="2151" w:type="dxa"/>
            <w:vAlign w:val="center"/>
          </w:tcPr>
          <w:p w14:paraId="2C9BB9C2" w14:textId="77777777" w:rsidR="00531934" w:rsidRPr="00647AF3" w:rsidRDefault="00531934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531934" w:rsidRPr="00647AF3" w14:paraId="65639267" w14:textId="77777777" w:rsidTr="00647AF3">
        <w:tc>
          <w:tcPr>
            <w:tcW w:w="7199" w:type="dxa"/>
          </w:tcPr>
          <w:p w14:paraId="35E7811A" w14:textId="1114D788" w:rsidR="00531934" w:rsidRPr="00647AF3" w:rsidRDefault="00531934" w:rsidP="00531934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</w:pPr>
            <w:r w:rsidRPr="00647AF3">
              <w:t>Project Management Plan (PMP) (Section IV, Item D)</w:t>
            </w:r>
          </w:p>
        </w:tc>
        <w:tc>
          <w:tcPr>
            <w:tcW w:w="2151" w:type="dxa"/>
            <w:shd w:val="clear" w:color="auto" w:fill="AEAAAA" w:themeFill="background2" w:themeFillShade="BF"/>
            <w:vAlign w:val="center"/>
          </w:tcPr>
          <w:p w14:paraId="0D50874F" w14:textId="77777777" w:rsidR="00531934" w:rsidRPr="00647AF3" w:rsidRDefault="00531934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31934" w:rsidRPr="00647AF3" w14:paraId="33B9B5FA" w14:textId="77777777" w:rsidTr="00647AF3">
        <w:tc>
          <w:tcPr>
            <w:tcW w:w="7199" w:type="dxa"/>
          </w:tcPr>
          <w:p w14:paraId="37F455CE" w14:textId="77777777" w:rsidR="00531934" w:rsidRPr="00647AF3" w:rsidRDefault="00531934" w:rsidP="00531934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</w:pPr>
            <w:r w:rsidRPr="00647AF3">
              <w:t>System Design and Development (SDD) (Section IV, Item F)</w:t>
            </w:r>
          </w:p>
        </w:tc>
        <w:tc>
          <w:tcPr>
            <w:tcW w:w="2151" w:type="dxa"/>
            <w:shd w:val="clear" w:color="auto" w:fill="AEAAAA" w:themeFill="background2" w:themeFillShade="BF"/>
            <w:vAlign w:val="center"/>
          </w:tcPr>
          <w:p w14:paraId="338C9841" w14:textId="77777777" w:rsidR="00531934" w:rsidRPr="00647AF3" w:rsidRDefault="00531934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31934" w:rsidRPr="00647AF3" w14:paraId="0E226401" w14:textId="77777777" w:rsidTr="00647AF3">
        <w:tc>
          <w:tcPr>
            <w:tcW w:w="7199" w:type="dxa"/>
          </w:tcPr>
          <w:p w14:paraId="768712C8" w14:textId="77777777" w:rsidR="00531934" w:rsidRPr="00647AF3" w:rsidRDefault="00531934" w:rsidP="00531934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</w:pPr>
            <w:r w:rsidRPr="00647AF3">
              <w:t>System Migration Plan (Section IV, Item G)</w:t>
            </w:r>
          </w:p>
        </w:tc>
        <w:tc>
          <w:tcPr>
            <w:tcW w:w="2151" w:type="dxa"/>
            <w:shd w:val="clear" w:color="auto" w:fill="AEAAAA" w:themeFill="background2" w:themeFillShade="BF"/>
            <w:vAlign w:val="center"/>
          </w:tcPr>
          <w:p w14:paraId="36E87021" w14:textId="77777777" w:rsidR="00531934" w:rsidRPr="00647AF3" w:rsidRDefault="00531934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31934" w:rsidRPr="00647AF3" w14:paraId="7487A642" w14:textId="77777777" w:rsidTr="00647AF3">
        <w:tc>
          <w:tcPr>
            <w:tcW w:w="7199" w:type="dxa"/>
          </w:tcPr>
          <w:p w14:paraId="58632ED0" w14:textId="77777777" w:rsidR="00531934" w:rsidRPr="00647AF3" w:rsidRDefault="00531934" w:rsidP="00531934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</w:pPr>
            <w:r w:rsidRPr="00647AF3">
              <w:t>Data Quality and Management Plan (Section IV, Item H)</w:t>
            </w:r>
          </w:p>
        </w:tc>
        <w:tc>
          <w:tcPr>
            <w:tcW w:w="2151" w:type="dxa"/>
            <w:shd w:val="clear" w:color="auto" w:fill="AEAAAA" w:themeFill="background2" w:themeFillShade="BF"/>
            <w:vAlign w:val="center"/>
          </w:tcPr>
          <w:p w14:paraId="7007C118" w14:textId="77777777" w:rsidR="00531934" w:rsidRPr="00647AF3" w:rsidRDefault="00531934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31934" w:rsidRPr="00647AF3" w14:paraId="4FBA627C" w14:textId="77777777" w:rsidTr="00647AF3">
        <w:tc>
          <w:tcPr>
            <w:tcW w:w="7199" w:type="dxa"/>
          </w:tcPr>
          <w:p w14:paraId="13022B97" w14:textId="77777777" w:rsidR="00531934" w:rsidRPr="00647AF3" w:rsidRDefault="00531934" w:rsidP="00531934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</w:pPr>
            <w:r w:rsidRPr="00647AF3">
              <w:t>Data Conversion and Migration Plan (Section IV, Item I)</w:t>
            </w:r>
          </w:p>
        </w:tc>
        <w:tc>
          <w:tcPr>
            <w:tcW w:w="2151" w:type="dxa"/>
            <w:shd w:val="clear" w:color="auto" w:fill="AEAAAA" w:themeFill="background2" w:themeFillShade="BF"/>
            <w:vAlign w:val="center"/>
          </w:tcPr>
          <w:p w14:paraId="554EEBD6" w14:textId="77777777" w:rsidR="00531934" w:rsidRPr="00647AF3" w:rsidRDefault="00531934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31934" w:rsidRPr="00647AF3" w14:paraId="7FFC0930" w14:textId="77777777" w:rsidTr="00647AF3">
        <w:tc>
          <w:tcPr>
            <w:tcW w:w="7199" w:type="dxa"/>
          </w:tcPr>
          <w:p w14:paraId="3C60FE8C" w14:textId="77777777" w:rsidR="00531934" w:rsidRPr="00647AF3" w:rsidRDefault="00531934" w:rsidP="00531934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</w:pPr>
            <w:r w:rsidRPr="00647AF3">
              <w:t>User Acceptance Testing Plan (Section IV, Item K)</w:t>
            </w:r>
          </w:p>
        </w:tc>
        <w:tc>
          <w:tcPr>
            <w:tcW w:w="2151" w:type="dxa"/>
            <w:shd w:val="clear" w:color="auto" w:fill="AEAAAA" w:themeFill="background2" w:themeFillShade="BF"/>
            <w:vAlign w:val="center"/>
          </w:tcPr>
          <w:p w14:paraId="70120FFB" w14:textId="77777777" w:rsidR="00531934" w:rsidRPr="00647AF3" w:rsidRDefault="00531934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31934" w:rsidRPr="00647AF3" w14:paraId="1A2B1BD6" w14:textId="77777777" w:rsidTr="00647AF3">
        <w:tc>
          <w:tcPr>
            <w:tcW w:w="7199" w:type="dxa"/>
          </w:tcPr>
          <w:p w14:paraId="02F98422" w14:textId="77777777" w:rsidR="00531934" w:rsidRPr="00647AF3" w:rsidRDefault="00531934" w:rsidP="00531934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</w:pPr>
            <w:r w:rsidRPr="00647AF3">
              <w:t>User Training and Documentation (Section IV, Item L)</w:t>
            </w:r>
          </w:p>
        </w:tc>
        <w:tc>
          <w:tcPr>
            <w:tcW w:w="2151" w:type="dxa"/>
            <w:shd w:val="clear" w:color="auto" w:fill="AEAAAA" w:themeFill="background2" w:themeFillShade="BF"/>
            <w:vAlign w:val="center"/>
          </w:tcPr>
          <w:p w14:paraId="394EAC0C" w14:textId="77777777" w:rsidR="00531934" w:rsidRPr="00647AF3" w:rsidRDefault="00531934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31934" w:rsidRPr="00647AF3" w14:paraId="45E019CC" w14:textId="77777777" w:rsidTr="00647AF3">
        <w:tc>
          <w:tcPr>
            <w:tcW w:w="7199" w:type="dxa"/>
            <w:vAlign w:val="center"/>
          </w:tcPr>
          <w:p w14:paraId="02D79233" w14:textId="77777777" w:rsidR="00531934" w:rsidRPr="00647AF3" w:rsidRDefault="00531934" w:rsidP="00531934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</w:pPr>
            <w:r w:rsidRPr="00647AF3">
              <w:t>Change Management and Control Plan (CMP) (Section IV, Item N)</w:t>
            </w:r>
          </w:p>
        </w:tc>
        <w:tc>
          <w:tcPr>
            <w:tcW w:w="2151" w:type="dxa"/>
            <w:shd w:val="clear" w:color="auto" w:fill="AEAAAA" w:themeFill="background2" w:themeFillShade="BF"/>
            <w:vAlign w:val="center"/>
          </w:tcPr>
          <w:p w14:paraId="23105D82" w14:textId="77777777" w:rsidR="00531934" w:rsidRPr="00647AF3" w:rsidRDefault="00531934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31934" w:rsidRPr="00647AF3" w14:paraId="61813ACE" w14:textId="77777777" w:rsidTr="00647AF3">
        <w:tc>
          <w:tcPr>
            <w:tcW w:w="7199" w:type="dxa"/>
            <w:vAlign w:val="center"/>
          </w:tcPr>
          <w:p w14:paraId="414A8239" w14:textId="77777777" w:rsidR="00531934" w:rsidRPr="00647AF3" w:rsidRDefault="00531934" w:rsidP="006905EA">
            <w:pPr>
              <w:spacing w:before="60" w:after="60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5. System manuals and project documentation – complete and all-inclusive</w:t>
            </w:r>
          </w:p>
        </w:tc>
        <w:tc>
          <w:tcPr>
            <w:tcW w:w="2151" w:type="dxa"/>
            <w:vAlign w:val="center"/>
          </w:tcPr>
          <w:p w14:paraId="627299C0" w14:textId="77777777" w:rsidR="00531934" w:rsidRPr="00647AF3" w:rsidRDefault="00531934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</w:tbl>
    <w:p w14:paraId="2233A68F" w14:textId="77777777" w:rsidR="005E62FF" w:rsidRPr="00647AF3" w:rsidRDefault="005E62F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8"/>
        <w:gridCol w:w="1864"/>
        <w:gridCol w:w="1808"/>
      </w:tblGrid>
      <w:tr w:rsidR="001B5680" w:rsidRPr="00647AF3" w14:paraId="43463F03" w14:textId="77777777" w:rsidTr="00D502C4">
        <w:tc>
          <w:tcPr>
            <w:tcW w:w="8005" w:type="dxa"/>
            <w:shd w:val="clear" w:color="auto" w:fill="D9E2F3" w:themeFill="accent1" w:themeFillTint="33"/>
            <w:vAlign w:val="center"/>
          </w:tcPr>
          <w:p w14:paraId="2F45E4C9" w14:textId="77777777" w:rsidR="001B5680" w:rsidRPr="00647AF3" w:rsidRDefault="001B5680" w:rsidP="00D502C4">
            <w:pPr>
              <w:spacing w:before="60" w:after="60"/>
              <w:jc w:val="center"/>
              <w:rPr>
                <w:rFonts w:ascii="Arial" w:hAnsi="Arial" w:cs="Arial"/>
                <w:b/>
                <w:bCs w:val="0"/>
              </w:rPr>
            </w:pPr>
            <w:r w:rsidRPr="00647AF3">
              <w:rPr>
                <w:rFonts w:ascii="Arial" w:hAnsi="Arial" w:cs="Arial"/>
                <w:b/>
              </w:rPr>
              <w:t>Development and Configuration Block Service Hours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2766C66B" w14:textId="77777777" w:rsidR="001B5680" w:rsidRPr="00647AF3" w:rsidRDefault="001B5680" w:rsidP="00D502C4">
            <w:pPr>
              <w:spacing w:before="60" w:after="60"/>
              <w:jc w:val="center"/>
              <w:rPr>
                <w:rFonts w:ascii="Arial" w:hAnsi="Arial" w:cs="Arial"/>
                <w:b/>
                <w:bCs w:val="0"/>
              </w:rPr>
            </w:pPr>
            <w:r w:rsidRPr="00647AF3">
              <w:rPr>
                <w:rFonts w:ascii="Arial" w:hAnsi="Arial" w:cs="Arial"/>
                <w:b/>
              </w:rPr>
              <w:t>Per Hour</w:t>
            </w:r>
          </w:p>
        </w:tc>
        <w:tc>
          <w:tcPr>
            <w:tcW w:w="2425" w:type="dxa"/>
            <w:shd w:val="clear" w:color="auto" w:fill="D9E2F3" w:themeFill="accent1" w:themeFillTint="33"/>
          </w:tcPr>
          <w:p w14:paraId="2CD6B0B8" w14:textId="77777777" w:rsidR="001B5680" w:rsidRPr="00647AF3" w:rsidRDefault="001B5680" w:rsidP="00D502C4">
            <w:pPr>
              <w:spacing w:before="60" w:after="60"/>
              <w:jc w:val="center"/>
              <w:rPr>
                <w:rFonts w:ascii="Arial" w:hAnsi="Arial" w:cs="Arial"/>
                <w:b/>
                <w:bCs w:val="0"/>
              </w:rPr>
            </w:pPr>
            <w:r w:rsidRPr="00647AF3">
              <w:rPr>
                <w:rFonts w:ascii="Arial" w:hAnsi="Arial" w:cs="Arial"/>
                <w:b/>
              </w:rPr>
              <w:t>Total</w:t>
            </w:r>
          </w:p>
        </w:tc>
      </w:tr>
      <w:tr w:rsidR="001B5680" w:rsidRPr="00647AF3" w14:paraId="70A61C51" w14:textId="77777777" w:rsidTr="00D502C4">
        <w:tc>
          <w:tcPr>
            <w:tcW w:w="8005" w:type="dxa"/>
            <w:vAlign w:val="center"/>
          </w:tcPr>
          <w:p w14:paraId="78EC2A75" w14:textId="77777777" w:rsidR="001B5680" w:rsidRPr="00647AF3" w:rsidRDefault="001B5680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Not to Exceed 2,500 Block Service Hours (per year)</w:t>
            </w:r>
          </w:p>
        </w:tc>
        <w:tc>
          <w:tcPr>
            <w:tcW w:w="2520" w:type="dxa"/>
          </w:tcPr>
          <w:p w14:paraId="1725B894" w14:textId="77777777" w:rsidR="001B5680" w:rsidRPr="00647AF3" w:rsidRDefault="001B5680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  <w:tc>
          <w:tcPr>
            <w:tcW w:w="2425" w:type="dxa"/>
          </w:tcPr>
          <w:p w14:paraId="1D26B2CD" w14:textId="77777777" w:rsidR="001B5680" w:rsidRPr="00647AF3" w:rsidRDefault="001B5680" w:rsidP="00D502C4">
            <w:pPr>
              <w:spacing w:before="60" w:after="60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</w:tbl>
    <w:p w14:paraId="2984721B" w14:textId="77777777" w:rsidR="00531934" w:rsidRDefault="00531934">
      <w:pPr>
        <w:rPr>
          <w:rFonts w:ascii="Arial" w:hAnsi="Arial" w:cs="Arial"/>
        </w:rPr>
      </w:pPr>
    </w:p>
    <w:p w14:paraId="549AD4B2" w14:textId="77777777" w:rsidR="00D502C4" w:rsidRDefault="00D502C4">
      <w:pPr>
        <w:rPr>
          <w:rFonts w:ascii="Arial" w:hAnsi="Arial" w:cs="Arial"/>
        </w:rPr>
      </w:pPr>
    </w:p>
    <w:p w14:paraId="51B6A5FF" w14:textId="77777777" w:rsidR="00D502C4" w:rsidRDefault="00D502C4">
      <w:pPr>
        <w:rPr>
          <w:rFonts w:ascii="Arial" w:hAnsi="Arial" w:cs="Arial"/>
        </w:rPr>
      </w:pPr>
    </w:p>
    <w:p w14:paraId="2EF657F5" w14:textId="77777777" w:rsidR="00D502C4" w:rsidRPr="00647AF3" w:rsidRDefault="00D502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7"/>
        <w:gridCol w:w="1970"/>
        <w:gridCol w:w="1973"/>
      </w:tblGrid>
      <w:tr w:rsidR="00190D95" w:rsidRPr="00647AF3" w14:paraId="5BFD25DD" w14:textId="77777777" w:rsidTr="00D502C4">
        <w:tc>
          <w:tcPr>
            <w:tcW w:w="12950" w:type="dxa"/>
            <w:gridSpan w:val="3"/>
            <w:shd w:val="clear" w:color="auto" w:fill="D9E2F3" w:themeFill="accent1" w:themeFillTint="33"/>
          </w:tcPr>
          <w:p w14:paraId="3062DE76" w14:textId="77777777" w:rsidR="00190D95" w:rsidRPr="00647AF3" w:rsidRDefault="00190D95" w:rsidP="00D502C4">
            <w:pPr>
              <w:spacing w:before="60" w:after="60"/>
              <w:jc w:val="center"/>
              <w:rPr>
                <w:rFonts w:ascii="Arial" w:hAnsi="Arial" w:cs="Arial"/>
                <w:b/>
                <w:bCs w:val="0"/>
              </w:rPr>
            </w:pPr>
            <w:r w:rsidRPr="00647AF3">
              <w:rPr>
                <w:rFonts w:ascii="Arial" w:hAnsi="Arial" w:cs="Arial"/>
                <w:b/>
              </w:rPr>
              <w:lastRenderedPageBreak/>
              <w:t>Annual Costs</w:t>
            </w:r>
          </w:p>
        </w:tc>
      </w:tr>
      <w:tr w:rsidR="00190D95" w:rsidRPr="00647AF3" w14:paraId="49F0479C" w14:textId="77777777" w:rsidTr="00D502C4">
        <w:tc>
          <w:tcPr>
            <w:tcW w:w="8005" w:type="dxa"/>
          </w:tcPr>
          <w:p w14:paraId="19A276B0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Annual Subscription and Hosting Fees – Including maintenance/support costs for five years)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08B00AE4" w14:textId="77777777" w:rsidR="00190D95" w:rsidRPr="00647AF3" w:rsidRDefault="00190D95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Unit Price</w:t>
            </w:r>
          </w:p>
          <w:p w14:paraId="649E9535" w14:textId="77777777" w:rsidR="00190D95" w:rsidRPr="00647AF3" w:rsidRDefault="00190D95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(If Applicable)</w:t>
            </w:r>
          </w:p>
        </w:tc>
        <w:tc>
          <w:tcPr>
            <w:tcW w:w="2425" w:type="dxa"/>
            <w:shd w:val="clear" w:color="auto" w:fill="BFBFBF" w:themeFill="background1" w:themeFillShade="BF"/>
            <w:vAlign w:val="center"/>
          </w:tcPr>
          <w:p w14:paraId="32CEFDED" w14:textId="77777777" w:rsidR="00190D95" w:rsidRPr="00647AF3" w:rsidRDefault="00190D95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Combined Subscription and Hosting Fee</w:t>
            </w:r>
          </w:p>
        </w:tc>
      </w:tr>
      <w:tr w:rsidR="00190D95" w:rsidRPr="00647AF3" w14:paraId="3BB05AF5" w14:textId="77777777" w:rsidTr="00D502C4">
        <w:tc>
          <w:tcPr>
            <w:tcW w:w="8005" w:type="dxa"/>
          </w:tcPr>
          <w:p w14:paraId="21F815B3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Year 1</w:t>
            </w:r>
          </w:p>
        </w:tc>
        <w:tc>
          <w:tcPr>
            <w:tcW w:w="2520" w:type="dxa"/>
          </w:tcPr>
          <w:p w14:paraId="45652854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54C8F01D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190D95" w:rsidRPr="00647AF3" w14:paraId="3EBBB549" w14:textId="77777777" w:rsidTr="00D502C4">
        <w:tc>
          <w:tcPr>
            <w:tcW w:w="8005" w:type="dxa"/>
          </w:tcPr>
          <w:p w14:paraId="779E3B59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Year 2</w:t>
            </w:r>
          </w:p>
        </w:tc>
        <w:tc>
          <w:tcPr>
            <w:tcW w:w="2520" w:type="dxa"/>
          </w:tcPr>
          <w:p w14:paraId="0C57B714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1C17238E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190D95" w:rsidRPr="00647AF3" w14:paraId="43394AA1" w14:textId="77777777" w:rsidTr="00D502C4">
        <w:tc>
          <w:tcPr>
            <w:tcW w:w="8005" w:type="dxa"/>
          </w:tcPr>
          <w:p w14:paraId="42267BEC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Year 3</w:t>
            </w:r>
          </w:p>
        </w:tc>
        <w:tc>
          <w:tcPr>
            <w:tcW w:w="2520" w:type="dxa"/>
          </w:tcPr>
          <w:p w14:paraId="596CF4BC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43F5AEA2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190D95" w:rsidRPr="00647AF3" w14:paraId="2F7DD9CB" w14:textId="77777777" w:rsidTr="00D502C4">
        <w:tc>
          <w:tcPr>
            <w:tcW w:w="8005" w:type="dxa"/>
          </w:tcPr>
          <w:p w14:paraId="07F0CACC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Year 4</w:t>
            </w:r>
          </w:p>
        </w:tc>
        <w:tc>
          <w:tcPr>
            <w:tcW w:w="2520" w:type="dxa"/>
          </w:tcPr>
          <w:p w14:paraId="3BA0B273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1EEAC46A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190D95" w:rsidRPr="00647AF3" w14:paraId="565C1C4A" w14:textId="77777777" w:rsidTr="00D502C4">
        <w:tc>
          <w:tcPr>
            <w:tcW w:w="8005" w:type="dxa"/>
          </w:tcPr>
          <w:p w14:paraId="0A191EEF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Year 5</w:t>
            </w:r>
          </w:p>
        </w:tc>
        <w:tc>
          <w:tcPr>
            <w:tcW w:w="2520" w:type="dxa"/>
          </w:tcPr>
          <w:p w14:paraId="00C476AB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0C09284F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190D95" w:rsidRPr="00647AF3" w14:paraId="67BBF801" w14:textId="77777777" w:rsidTr="00D502C4">
        <w:tc>
          <w:tcPr>
            <w:tcW w:w="10525" w:type="dxa"/>
            <w:gridSpan w:val="2"/>
          </w:tcPr>
          <w:p w14:paraId="26B63410" w14:textId="77777777" w:rsidR="00190D95" w:rsidRPr="00647AF3" w:rsidRDefault="00190D95" w:rsidP="00D502C4">
            <w:pPr>
              <w:spacing w:before="60" w:after="60"/>
              <w:jc w:val="right"/>
              <w:rPr>
                <w:rFonts w:ascii="Arial" w:hAnsi="Arial" w:cs="Arial"/>
                <w:b/>
                <w:bCs w:val="0"/>
              </w:rPr>
            </w:pPr>
            <w:r w:rsidRPr="00647AF3">
              <w:rPr>
                <w:rFonts w:ascii="Arial" w:hAnsi="Arial" w:cs="Arial"/>
                <w:b/>
              </w:rPr>
              <w:t>Total Subscription and Hosting Cost:</w:t>
            </w:r>
          </w:p>
        </w:tc>
        <w:tc>
          <w:tcPr>
            <w:tcW w:w="2425" w:type="dxa"/>
          </w:tcPr>
          <w:p w14:paraId="36F81EA2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190D95" w:rsidRPr="00647AF3" w14:paraId="0B893D52" w14:textId="77777777" w:rsidTr="00D502C4">
        <w:tc>
          <w:tcPr>
            <w:tcW w:w="10525" w:type="dxa"/>
            <w:gridSpan w:val="2"/>
          </w:tcPr>
          <w:p w14:paraId="31261F52" w14:textId="6CEC0286" w:rsidR="00190D95" w:rsidRPr="00647AF3" w:rsidRDefault="00190D95" w:rsidP="00D502C4">
            <w:pPr>
              <w:spacing w:before="60" w:after="60"/>
              <w:jc w:val="right"/>
              <w:rPr>
                <w:rFonts w:ascii="Arial" w:hAnsi="Arial" w:cs="Arial"/>
                <w:b/>
                <w:bCs w:val="0"/>
              </w:rPr>
            </w:pPr>
            <w:r w:rsidRPr="00647AF3">
              <w:rPr>
                <w:rFonts w:ascii="Arial" w:hAnsi="Arial" w:cs="Arial"/>
                <w:b/>
              </w:rPr>
              <w:t>GRAND TOTAL (Base Offering Total Cost, Development and Configuration Block Service Hours, and Total Subscription and Hosting Cost</w:t>
            </w:r>
            <w:r w:rsidR="00DC390E">
              <w:rPr>
                <w:rFonts w:ascii="Arial" w:hAnsi="Arial" w:cs="Arial"/>
                <w:b/>
              </w:rPr>
              <w:t>)</w:t>
            </w:r>
            <w:r w:rsidRPr="00647AF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2425" w:type="dxa"/>
          </w:tcPr>
          <w:p w14:paraId="1E8C6847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190D95" w:rsidRPr="00647AF3" w14:paraId="0A5AE936" w14:textId="77777777" w:rsidTr="00D502C4">
        <w:tc>
          <w:tcPr>
            <w:tcW w:w="12950" w:type="dxa"/>
            <w:gridSpan w:val="3"/>
            <w:shd w:val="clear" w:color="auto" w:fill="BFBFBF" w:themeFill="background1" w:themeFillShade="BF"/>
          </w:tcPr>
          <w:p w14:paraId="2B0217E1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90D95" w:rsidRPr="00647AF3" w14:paraId="3BF923EC" w14:textId="77777777" w:rsidTr="00D502C4">
        <w:tc>
          <w:tcPr>
            <w:tcW w:w="8005" w:type="dxa"/>
          </w:tcPr>
          <w:p w14:paraId="5CB16141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If the Change Order Rate varies depending on the level of support, the Vendor must specify it according to the position or support role.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1BECF400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5" w:type="dxa"/>
            <w:shd w:val="clear" w:color="auto" w:fill="BFBFBF" w:themeFill="background1" w:themeFillShade="BF"/>
          </w:tcPr>
          <w:p w14:paraId="6C59615D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90D95" w:rsidRPr="00647AF3" w14:paraId="128EA902" w14:textId="77777777" w:rsidTr="00D502C4">
        <w:tc>
          <w:tcPr>
            <w:tcW w:w="8005" w:type="dxa"/>
          </w:tcPr>
          <w:p w14:paraId="5FE3E761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proofErr w:type="gramStart"/>
            <w:r w:rsidRPr="00647AF3">
              <w:rPr>
                <w:rFonts w:ascii="Arial" w:hAnsi="Arial" w:cs="Arial"/>
              </w:rPr>
              <w:t>Fully-Loaded</w:t>
            </w:r>
            <w:proofErr w:type="gramEnd"/>
            <w:r w:rsidRPr="00647AF3">
              <w:rPr>
                <w:rFonts w:ascii="Arial" w:hAnsi="Arial" w:cs="Arial"/>
              </w:rPr>
              <w:t xml:space="preserve"> Hourly Change Order Rate</w:t>
            </w:r>
          </w:p>
        </w:tc>
        <w:tc>
          <w:tcPr>
            <w:tcW w:w="2520" w:type="dxa"/>
          </w:tcPr>
          <w:p w14:paraId="45305B7D" w14:textId="77777777" w:rsidR="00190D95" w:rsidRPr="00647AF3" w:rsidRDefault="00190D95" w:rsidP="00D502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6B32AFC9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190D95" w:rsidRPr="00647AF3" w14:paraId="3CE143D9" w14:textId="77777777" w:rsidTr="00D502C4">
        <w:tc>
          <w:tcPr>
            <w:tcW w:w="8005" w:type="dxa"/>
          </w:tcPr>
          <w:p w14:paraId="05F6764A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Pricing for Optional Items (Itemize cost)</w:t>
            </w:r>
          </w:p>
        </w:tc>
        <w:tc>
          <w:tcPr>
            <w:tcW w:w="2520" w:type="dxa"/>
          </w:tcPr>
          <w:p w14:paraId="5B24B013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2983B5C6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  <w:tr w:rsidR="00190D95" w:rsidRPr="00647AF3" w14:paraId="28578924" w14:textId="77777777" w:rsidTr="00D502C4">
        <w:tc>
          <w:tcPr>
            <w:tcW w:w="8005" w:type="dxa"/>
          </w:tcPr>
          <w:p w14:paraId="28F4AA49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D356CD0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14:paraId="159C4D8B" w14:textId="77777777" w:rsidR="00190D95" w:rsidRPr="00647AF3" w:rsidRDefault="00190D95" w:rsidP="00D502C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90D95" w:rsidRPr="00647AF3" w14:paraId="0AC47C35" w14:textId="77777777" w:rsidTr="00511565">
        <w:tc>
          <w:tcPr>
            <w:tcW w:w="8005" w:type="dxa"/>
            <w:vAlign w:val="center"/>
          </w:tcPr>
          <w:p w14:paraId="4134F408" w14:textId="2BBE4C46" w:rsidR="00190D95" w:rsidRPr="00647AF3" w:rsidRDefault="00190D95" w:rsidP="00511565">
            <w:pPr>
              <w:spacing w:before="60" w:after="60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  <w:b/>
              </w:rPr>
              <w:t>License Per User Cost</w:t>
            </w:r>
            <w:r w:rsidRPr="00647AF3">
              <w:rPr>
                <w:rFonts w:ascii="Arial" w:hAnsi="Arial" w:cs="Arial"/>
              </w:rPr>
              <w:t xml:space="preserve">—If the </w:t>
            </w:r>
            <w:r w:rsidR="00247CA3">
              <w:rPr>
                <w:rFonts w:ascii="Arial" w:hAnsi="Arial" w:cs="Arial"/>
              </w:rPr>
              <w:t>Vendor</w:t>
            </w:r>
            <w:r w:rsidR="00313F22">
              <w:rPr>
                <w:rFonts w:ascii="Arial" w:hAnsi="Arial" w:cs="Arial"/>
              </w:rPr>
              <w:t>’s pricing structure is on a per license basis, Vendor should propose a pricing tier</w:t>
            </w:r>
            <w:r w:rsidR="009D28CD">
              <w:rPr>
                <w:rFonts w:ascii="Arial" w:hAnsi="Arial" w:cs="Arial"/>
              </w:rPr>
              <w:t xml:space="preserve"> or a per-user unit cost</w:t>
            </w:r>
            <w:r w:rsidR="00313F22">
              <w:rPr>
                <w:rFonts w:ascii="Arial" w:hAnsi="Arial" w:cs="Arial"/>
              </w:rPr>
              <w:t xml:space="preserve">. </w:t>
            </w:r>
            <w:r w:rsidR="009D28CD">
              <w:rPr>
                <w:rFonts w:ascii="Arial" w:hAnsi="Arial" w:cs="Arial"/>
              </w:rPr>
              <w:t xml:space="preserve">Pricing tiers are </w:t>
            </w:r>
            <w:r w:rsidR="003A35DB">
              <w:rPr>
                <w:rFonts w:ascii="Arial" w:hAnsi="Arial" w:cs="Arial"/>
              </w:rPr>
              <w:t xml:space="preserve">at </w:t>
            </w:r>
            <w:r w:rsidR="003E311A">
              <w:rPr>
                <w:rFonts w:ascii="Arial" w:hAnsi="Arial" w:cs="Arial"/>
              </w:rPr>
              <w:t xml:space="preserve">the Vendor’s </w:t>
            </w:r>
            <w:r w:rsidR="00814527">
              <w:rPr>
                <w:rFonts w:ascii="Arial" w:hAnsi="Arial" w:cs="Arial"/>
              </w:rPr>
              <w:t>discretion</w:t>
            </w:r>
            <w:r w:rsidR="00814527">
              <w:rPr>
                <w:rFonts w:ascii="Arial" w:hAnsi="Arial" w:cs="Arial"/>
                <w:bCs w:val="0"/>
              </w:rPr>
              <w:t>,</w:t>
            </w:r>
            <w:r w:rsidR="003E311A">
              <w:rPr>
                <w:rFonts w:ascii="Arial" w:hAnsi="Arial" w:cs="Arial"/>
              </w:rPr>
              <w:t xml:space="preserve"> but an example would be 1-</w:t>
            </w:r>
            <w:r w:rsidR="003662F5">
              <w:rPr>
                <w:rFonts w:ascii="Arial" w:hAnsi="Arial" w:cs="Arial"/>
              </w:rPr>
              <w:t>1</w:t>
            </w:r>
            <w:r w:rsidR="003E311A">
              <w:rPr>
                <w:rFonts w:ascii="Arial" w:hAnsi="Arial" w:cs="Arial"/>
              </w:rPr>
              <w:t>,000</w:t>
            </w:r>
            <w:r w:rsidR="003662F5">
              <w:rPr>
                <w:rFonts w:ascii="Arial" w:hAnsi="Arial" w:cs="Arial"/>
              </w:rPr>
              <w:t>; 1</w:t>
            </w:r>
            <w:r w:rsidR="00D85A26">
              <w:rPr>
                <w:rFonts w:ascii="Arial" w:hAnsi="Arial" w:cs="Arial"/>
              </w:rPr>
              <w:t>,</w:t>
            </w:r>
            <w:r w:rsidR="003662F5">
              <w:rPr>
                <w:rFonts w:ascii="Arial" w:hAnsi="Arial" w:cs="Arial"/>
              </w:rPr>
              <w:t>001-2</w:t>
            </w:r>
            <w:r w:rsidR="00D85A26">
              <w:rPr>
                <w:rFonts w:ascii="Arial" w:hAnsi="Arial" w:cs="Arial"/>
              </w:rPr>
              <w:t>,</w:t>
            </w:r>
            <w:r w:rsidR="003662F5">
              <w:rPr>
                <w:rFonts w:ascii="Arial" w:hAnsi="Arial" w:cs="Arial"/>
              </w:rPr>
              <w:t>000; 2</w:t>
            </w:r>
            <w:r w:rsidR="00D85A26">
              <w:rPr>
                <w:rFonts w:ascii="Arial" w:hAnsi="Arial" w:cs="Arial"/>
              </w:rPr>
              <w:t>,</w:t>
            </w:r>
            <w:r w:rsidR="003662F5">
              <w:rPr>
                <w:rFonts w:ascii="Arial" w:hAnsi="Arial" w:cs="Arial"/>
              </w:rPr>
              <w:t>001-3</w:t>
            </w:r>
            <w:r w:rsidR="00D85A26">
              <w:rPr>
                <w:rFonts w:ascii="Arial" w:hAnsi="Arial" w:cs="Arial"/>
              </w:rPr>
              <w:t>,</w:t>
            </w:r>
            <w:r w:rsidR="003662F5">
              <w:rPr>
                <w:rFonts w:ascii="Arial" w:hAnsi="Arial" w:cs="Arial"/>
              </w:rPr>
              <w:t>000, etc.</w:t>
            </w:r>
            <w:r w:rsidRPr="00647AF3">
              <w:rPr>
                <w:rFonts w:ascii="Arial" w:hAnsi="Arial" w:cs="Arial"/>
              </w:rPr>
              <w:t xml:space="preserve"> If the </w:t>
            </w:r>
            <w:r w:rsidR="00511565">
              <w:rPr>
                <w:rFonts w:ascii="Arial" w:hAnsi="Arial" w:cs="Arial"/>
              </w:rPr>
              <w:t>V</w:t>
            </w:r>
            <w:r w:rsidRPr="00647AF3">
              <w:rPr>
                <w:rFonts w:ascii="Arial" w:hAnsi="Arial" w:cs="Arial"/>
              </w:rPr>
              <w:t xml:space="preserve">endor does not add a license per user cost, the state will be under the impression that the user count is unlimited, and the </w:t>
            </w:r>
            <w:r w:rsidR="003662F5">
              <w:rPr>
                <w:rFonts w:ascii="Arial" w:hAnsi="Arial" w:cs="Arial"/>
              </w:rPr>
              <w:t>V</w:t>
            </w:r>
            <w:r w:rsidRPr="00647AF3">
              <w:rPr>
                <w:rFonts w:ascii="Arial" w:hAnsi="Arial" w:cs="Arial"/>
              </w:rPr>
              <w:t xml:space="preserve">endor will not be able to increase their annual subscription and hosting costs if SOS requires more users. </w:t>
            </w:r>
            <w:r w:rsidR="00DA6475">
              <w:rPr>
                <w:rFonts w:ascii="Arial" w:hAnsi="Arial" w:cs="Arial"/>
              </w:rPr>
              <w:t xml:space="preserve"> The awarded Vendor will not be allowed to change</w:t>
            </w:r>
            <w:r w:rsidR="00B00DAF">
              <w:rPr>
                <w:rFonts w:ascii="Arial" w:hAnsi="Arial" w:cs="Arial"/>
              </w:rPr>
              <w:t xml:space="preserve"> their proposed pricing structure for the life of the contract.</w:t>
            </w:r>
          </w:p>
        </w:tc>
        <w:tc>
          <w:tcPr>
            <w:tcW w:w="2520" w:type="dxa"/>
            <w:vAlign w:val="center"/>
          </w:tcPr>
          <w:p w14:paraId="2782BB76" w14:textId="77777777" w:rsidR="00190D95" w:rsidRPr="00647AF3" w:rsidRDefault="00190D95" w:rsidP="00D502C4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vAlign w:val="center"/>
          </w:tcPr>
          <w:p w14:paraId="5D5E6E90" w14:textId="77777777" w:rsidR="00190D95" w:rsidRPr="00647AF3" w:rsidRDefault="00190D95" w:rsidP="00D502C4">
            <w:pPr>
              <w:spacing w:before="240" w:after="240"/>
              <w:rPr>
                <w:rFonts w:ascii="Arial" w:hAnsi="Arial" w:cs="Arial"/>
              </w:rPr>
            </w:pPr>
            <w:r w:rsidRPr="00647AF3">
              <w:rPr>
                <w:rFonts w:ascii="Arial" w:hAnsi="Arial" w:cs="Arial"/>
              </w:rPr>
              <w:t>$</w:t>
            </w:r>
          </w:p>
        </w:tc>
      </w:tr>
    </w:tbl>
    <w:p w14:paraId="34472F32" w14:textId="77777777" w:rsidR="001B5680" w:rsidRDefault="001B5680"/>
    <w:p w14:paraId="2E8EDA7F" w14:textId="77777777" w:rsidR="002C1C47" w:rsidRDefault="002C1C47"/>
    <w:p w14:paraId="27988A7E" w14:textId="77777777" w:rsidR="00A04763" w:rsidRDefault="00A04763"/>
    <w:p w14:paraId="60CC7EAD" w14:textId="77777777" w:rsidR="002C1C47" w:rsidRDefault="002C1C47"/>
    <w:sectPr w:rsidR="002C1C47" w:rsidSect="006F53F8">
      <w:head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7E1B7" w14:textId="77777777" w:rsidR="00FB19A4" w:rsidRDefault="00FB19A4" w:rsidP="00F876DC">
      <w:pPr>
        <w:spacing w:after="0" w:line="240" w:lineRule="auto"/>
      </w:pPr>
      <w:r>
        <w:separator/>
      </w:r>
    </w:p>
  </w:endnote>
  <w:endnote w:type="continuationSeparator" w:id="0">
    <w:p w14:paraId="2B6723EC" w14:textId="77777777" w:rsidR="00FB19A4" w:rsidRDefault="00FB19A4" w:rsidP="00F876DC">
      <w:pPr>
        <w:spacing w:after="0" w:line="240" w:lineRule="auto"/>
      </w:pPr>
      <w:r>
        <w:continuationSeparator/>
      </w:r>
    </w:p>
  </w:endnote>
  <w:endnote w:type="continuationNotice" w:id="1">
    <w:p w14:paraId="76B410D3" w14:textId="77777777" w:rsidR="00B53C7D" w:rsidRDefault="00B53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368A" w14:textId="77777777" w:rsidR="00FB19A4" w:rsidRDefault="00FB19A4" w:rsidP="00F876DC">
      <w:pPr>
        <w:spacing w:after="0" w:line="240" w:lineRule="auto"/>
      </w:pPr>
      <w:r>
        <w:separator/>
      </w:r>
    </w:p>
  </w:footnote>
  <w:footnote w:type="continuationSeparator" w:id="0">
    <w:p w14:paraId="0A370C5A" w14:textId="77777777" w:rsidR="00FB19A4" w:rsidRDefault="00FB19A4" w:rsidP="00F876DC">
      <w:pPr>
        <w:spacing w:after="0" w:line="240" w:lineRule="auto"/>
      </w:pPr>
      <w:r>
        <w:continuationSeparator/>
      </w:r>
    </w:p>
  </w:footnote>
  <w:footnote w:type="continuationNotice" w:id="1">
    <w:p w14:paraId="736C69EC" w14:textId="77777777" w:rsidR="00B53C7D" w:rsidRDefault="00B53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7C511" w14:textId="5D76766F" w:rsidR="00D45F04" w:rsidRPr="006F53F8" w:rsidRDefault="00D45F04" w:rsidP="006F53F8">
    <w:pPr>
      <w:pStyle w:val="Header"/>
      <w:jc w:val="right"/>
      <w:rPr>
        <w:rFonts w:ascii="Arial" w:hAnsi="Arial" w:cs="Arial"/>
        <w:sz w:val="20"/>
        <w:szCs w:val="20"/>
      </w:rPr>
    </w:pPr>
    <w:r>
      <w:tab/>
    </w:r>
    <w:r>
      <w:tab/>
    </w:r>
    <w:r w:rsidRPr="006F53F8">
      <w:rPr>
        <w:rFonts w:ascii="Arial" w:hAnsi="Arial" w:cs="Arial"/>
        <w:sz w:val="20"/>
        <w:szCs w:val="20"/>
      </w:rPr>
      <w:t>RFP</w:t>
    </w:r>
    <w:r w:rsidR="001F04E4" w:rsidRPr="006F53F8">
      <w:rPr>
        <w:rFonts w:ascii="Arial" w:hAnsi="Arial" w:cs="Arial"/>
        <w:sz w:val="20"/>
        <w:szCs w:val="20"/>
      </w:rPr>
      <w:t xml:space="preserve"> No.</w:t>
    </w:r>
    <w:r w:rsidRPr="006F53F8">
      <w:rPr>
        <w:rFonts w:ascii="Arial" w:hAnsi="Arial" w:cs="Arial"/>
        <w:sz w:val="20"/>
        <w:szCs w:val="20"/>
      </w:rPr>
      <w:t xml:space="preserve"> 4586</w:t>
    </w:r>
    <w:r w:rsidR="004C7DF9" w:rsidRPr="006F53F8">
      <w:rPr>
        <w:rFonts w:ascii="Arial" w:hAnsi="Arial" w:cs="Arial"/>
        <w:sz w:val="20"/>
        <w:szCs w:val="20"/>
      </w:rPr>
      <w:t>-47844</w:t>
    </w:r>
  </w:p>
  <w:p w14:paraId="0735DF4A" w14:textId="4325219C" w:rsidR="00A45C85" w:rsidRPr="006F53F8" w:rsidRDefault="00A45C85" w:rsidP="006F53F8">
    <w:pPr>
      <w:pStyle w:val="Header"/>
      <w:jc w:val="right"/>
      <w:rPr>
        <w:rFonts w:ascii="Arial" w:hAnsi="Arial" w:cs="Arial"/>
        <w:sz w:val="20"/>
        <w:szCs w:val="20"/>
      </w:rPr>
    </w:pPr>
    <w:r w:rsidRPr="006F53F8">
      <w:rPr>
        <w:rFonts w:ascii="Arial" w:hAnsi="Arial" w:cs="Arial"/>
        <w:sz w:val="20"/>
        <w:szCs w:val="20"/>
      </w:rPr>
      <w:tab/>
    </w:r>
    <w:r w:rsidR="004B1C30" w:rsidRPr="006F53F8">
      <w:rPr>
        <w:rFonts w:ascii="Arial" w:hAnsi="Arial" w:cs="Arial"/>
        <w:sz w:val="20"/>
        <w:szCs w:val="20"/>
      </w:rPr>
      <w:t>Campaign Finance and Lobbyist Registration Filing System</w:t>
    </w:r>
  </w:p>
  <w:p w14:paraId="624F3073" w14:textId="77777777" w:rsidR="00B53C7D" w:rsidRPr="006F53F8" w:rsidRDefault="001F04E4" w:rsidP="006F53F8">
    <w:pPr>
      <w:pStyle w:val="Header"/>
      <w:jc w:val="right"/>
      <w:rPr>
        <w:rFonts w:ascii="Arial" w:hAnsi="Arial" w:cs="Arial"/>
        <w:sz w:val="20"/>
        <w:szCs w:val="20"/>
      </w:rPr>
    </w:pPr>
    <w:r w:rsidRPr="006F53F8">
      <w:rPr>
        <w:rFonts w:ascii="Arial" w:hAnsi="Arial" w:cs="Arial"/>
        <w:sz w:val="20"/>
        <w:szCs w:val="20"/>
      </w:rPr>
      <w:t>Mississippi Secretary of State’s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D6364"/>
    <w:multiLevelType w:val="hybridMultilevel"/>
    <w:tmpl w:val="2CF66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9CB6F"/>
    <w:rsid w:val="00073285"/>
    <w:rsid w:val="0007500A"/>
    <w:rsid w:val="000B4120"/>
    <w:rsid w:val="001117AC"/>
    <w:rsid w:val="001706C7"/>
    <w:rsid w:val="00190D95"/>
    <w:rsid w:val="001B5680"/>
    <w:rsid w:val="001F04E4"/>
    <w:rsid w:val="0020063D"/>
    <w:rsid w:val="00247CA3"/>
    <w:rsid w:val="002520A1"/>
    <w:rsid w:val="00272A8E"/>
    <w:rsid w:val="00285301"/>
    <w:rsid w:val="002C0BEE"/>
    <w:rsid w:val="002C1C47"/>
    <w:rsid w:val="00313F22"/>
    <w:rsid w:val="003662F5"/>
    <w:rsid w:val="003912C6"/>
    <w:rsid w:val="003A35DB"/>
    <w:rsid w:val="003E03F4"/>
    <w:rsid w:val="003E311A"/>
    <w:rsid w:val="003F0CA9"/>
    <w:rsid w:val="004B1C30"/>
    <w:rsid w:val="004C7DF9"/>
    <w:rsid w:val="00505488"/>
    <w:rsid w:val="00511565"/>
    <w:rsid w:val="00530CA0"/>
    <w:rsid w:val="00531934"/>
    <w:rsid w:val="00554040"/>
    <w:rsid w:val="005A3C1F"/>
    <w:rsid w:val="005E62FF"/>
    <w:rsid w:val="005F1103"/>
    <w:rsid w:val="005F6E6A"/>
    <w:rsid w:val="00647AF3"/>
    <w:rsid w:val="006905EA"/>
    <w:rsid w:val="006B02C9"/>
    <w:rsid w:val="006E12CC"/>
    <w:rsid w:val="006E2A54"/>
    <w:rsid w:val="006E6A8E"/>
    <w:rsid w:val="006F53F8"/>
    <w:rsid w:val="00742B5D"/>
    <w:rsid w:val="007B5714"/>
    <w:rsid w:val="00814527"/>
    <w:rsid w:val="008E2336"/>
    <w:rsid w:val="009D28CD"/>
    <w:rsid w:val="00A02CD0"/>
    <w:rsid w:val="00A04763"/>
    <w:rsid w:val="00A45C85"/>
    <w:rsid w:val="00A6135B"/>
    <w:rsid w:val="00B00DAF"/>
    <w:rsid w:val="00B53C7D"/>
    <w:rsid w:val="00BD5D3B"/>
    <w:rsid w:val="00C2078E"/>
    <w:rsid w:val="00C57182"/>
    <w:rsid w:val="00C6778F"/>
    <w:rsid w:val="00CB6CB2"/>
    <w:rsid w:val="00CC791F"/>
    <w:rsid w:val="00D12BFE"/>
    <w:rsid w:val="00D343E2"/>
    <w:rsid w:val="00D45F04"/>
    <w:rsid w:val="00D502C4"/>
    <w:rsid w:val="00D85A26"/>
    <w:rsid w:val="00DA6475"/>
    <w:rsid w:val="00DB552B"/>
    <w:rsid w:val="00DC390E"/>
    <w:rsid w:val="00E7439D"/>
    <w:rsid w:val="00E94414"/>
    <w:rsid w:val="00E952FB"/>
    <w:rsid w:val="00ED1448"/>
    <w:rsid w:val="00ED69AA"/>
    <w:rsid w:val="00EE1378"/>
    <w:rsid w:val="00EF7B98"/>
    <w:rsid w:val="00F6778D"/>
    <w:rsid w:val="00F849DB"/>
    <w:rsid w:val="00F876DC"/>
    <w:rsid w:val="00F9211B"/>
    <w:rsid w:val="00FB19A4"/>
    <w:rsid w:val="00FC35B8"/>
    <w:rsid w:val="0779CB6F"/>
    <w:rsid w:val="3EB0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CB6F"/>
  <w15:chartTrackingRefBased/>
  <w15:docId w15:val="{C51A2FE2-8C0F-400B-BF2D-CFEE061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tandard Deloitte Blue/Blue Table/Tableau,Capgemini Table Format"/>
    <w:basedOn w:val="TableNormal"/>
    <w:uiPriority w:val="59"/>
    <w:rsid w:val="00DB552B"/>
    <w:pPr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319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8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DC"/>
  </w:style>
  <w:style w:type="paragraph" w:styleId="Footer">
    <w:name w:val="footer"/>
    <w:basedOn w:val="Normal"/>
    <w:link w:val="FooterChar"/>
    <w:uiPriority w:val="99"/>
    <w:unhideWhenUsed/>
    <w:rsid w:val="00F8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DC"/>
  </w:style>
  <w:style w:type="character" w:styleId="CommentReference">
    <w:name w:val="annotation reference"/>
    <w:basedOn w:val="DefaultParagraphFont"/>
    <w:uiPriority w:val="99"/>
    <w:semiHidden/>
    <w:unhideWhenUsed/>
    <w:rsid w:val="00B53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0CD2D08A194428A19EA10EC334733" ma:contentTypeVersion="15" ma:contentTypeDescription="Create a new document." ma:contentTypeScope="" ma:versionID="ea3cf796cefcc25358e667b72ac43f94">
  <xsd:schema xmlns:xsd="http://www.w3.org/2001/XMLSchema" xmlns:xs="http://www.w3.org/2001/XMLSchema" xmlns:p="http://schemas.microsoft.com/office/2006/metadata/properties" xmlns:ns2="6b968145-c3f1-41eb-a395-1e34bee79e2d" xmlns:ns3="2ba9052a-6cb2-49c4-a582-c695e6b0ee29" targetNamespace="http://schemas.microsoft.com/office/2006/metadata/properties" ma:root="true" ma:fieldsID="fe2eca1f6c4e0dc9a06c07d662cdfa29" ns2:_="" ns3:_="">
    <xsd:import namespace="6b968145-c3f1-41eb-a395-1e34bee79e2d"/>
    <xsd:import namespace="2ba9052a-6cb2-49c4-a582-c695e6b0e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8145-c3f1-41eb-a395-1e34bee7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fcbdec-51f1-4b63-84c9-97478d3c195e}" ma:internalName="TaxCatchAll" ma:showField="CatchAllData" ma:web="6b968145-c3f1-41eb-a395-1e34bee79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9052a-6cb2-49c4-a582-c695e6b0e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98038f-a3c8-4a80-ba33-074b2a4da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68145-c3f1-41eb-a395-1e34bee79e2d" xsi:nil="true"/>
    <lcf76f155ced4ddcb4097134ff3c332f xmlns="2ba9052a-6cb2-49c4-a582-c695e6b0ee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9731F-D615-4171-8B99-648F84491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8145-c3f1-41eb-a395-1e34bee79e2d"/>
    <ds:schemaRef ds:uri="2ba9052a-6cb2-49c4-a582-c695e6b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96DC3-85F5-433B-B560-5A9D8EAD0ACA}">
  <ds:schemaRefs>
    <ds:schemaRef ds:uri="6b968145-c3f1-41eb-a395-1e34bee79e2d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ba9052a-6cb2-49c4-a582-c695e6b0ee29"/>
  </ds:schemaRefs>
</ds:datastoreItem>
</file>

<file path=customXml/itemProps3.xml><?xml version="1.0" encoding="utf-8"?>
<ds:datastoreItem xmlns:ds="http://schemas.openxmlformats.org/officeDocument/2006/customXml" ds:itemID="{D4E2DFC7-69EB-4407-BBA6-A3E0647BD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Roshunda Mitchell</dc:creator>
  <cp:keywords/>
  <dc:description/>
  <cp:lastModifiedBy>Roshunda Mitchell</cp:lastModifiedBy>
  <cp:revision>35</cp:revision>
  <dcterms:created xsi:type="dcterms:W3CDTF">2024-10-17T14:26:00Z</dcterms:created>
  <dcterms:modified xsi:type="dcterms:W3CDTF">2024-10-23T18:47:00Z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0x0101002E10CD2D08A194428A19EA10EC334733</vt:lpwstr>
  </property>
  <property fmtid="{D5CDD505-2E9C-101B-9397-08002B2CF9AE}" pid="3" name="MediaServiceImageTags">
    <vt:lpwstr/>
  </property>
</Properties>
</file>